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C5FA" w14:textId="77777777" w:rsidR="007C4127" w:rsidRDefault="007C4127" w:rsidP="007C4127">
      <w:pPr>
        <w:rPr>
          <w:b/>
        </w:rPr>
      </w:pPr>
      <w:r>
        <w:rPr>
          <w:b/>
        </w:rPr>
        <w:t>Continuous Subcutaneous Insulin Infusion from Diagnosis of Type 1 Diabetes Improves Intermediate Glycaemic Variability in Children</w:t>
      </w:r>
    </w:p>
    <w:p w14:paraId="6460D3A5" w14:textId="77777777" w:rsidR="007C4127" w:rsidRDefault="007C4127" w:rsidP="007C4127">
      <w:pPr>
        <w:rPr>
          <w:i/>
          <w:sz w:val="20"/>
          <w:szCs w:val="20"/>
        </w:rPr>
      </w:pPr>
      <w:r>
        <w:rPr>
          <w:i/>
          <w:sz w:val="20"/>
          <w:szCs w:val="20"/>
        </w:rPr>
        <w:t>Scott, E. S., Januszewski, A. S., Fulcher, G., Jones, T., Davis, E. A., &amp; Jenkins, A. J.</w:t>
      </w:r>
    </w:p>
    <w:p w14:paraId="71A45A3F" w14:textId="77777777" w:rsidR="007C4127" w:rsidRDefault="007C4127" w:rsidP="007C4127"/>
    <w:p w14:paraId="49272603" w14:textId="77777777" w:rsidR="007C4127" w:rsidRDefault="007C4127" w:rsidP="007C4127">
      <w:pPr>
        <w:shd w:val="clear" w:color="auto" w:fill="FFFFFF"/>
        <w:spacing w:after="220" w:line="360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Glucose variability (GV) may be reflected by variation in either the short-term glucose levels (assessed by continuous glucose monitoring (CGM)) or the long-term by HbA1c or intermediate by 1,5-anhydroglucitol (1,5-AG).</w:t>
      </w:r>
    </w:p>
    <w:p w14:paraId="7DEA1621" w14:textId="42F356D5" w:rsidR="007C4127" w:rsidRDefault="007C4127" w:rsidP="007C4127">
      <w:pPr>
        <w:shd w:val="clear" w:color="auto" w:fill="FFFFFF"/>
        <w:spacing w:after="220" w:line="360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In patients with T1DM, management by continuous subcutaneous insulin infusion (CSII) is usually associated with improved glycaemia compared to multiple daily insulin injections (MDI). Serum 1,5-anhydroglucitol (1,5-AG) correlates with GV on CGM in adult and p</w:t>
      </w:r>
      <w:r>
        <w:rPr>
          <w:sz w:val="21"/>
          <w:szCs w:val="21"/>
          <w:highlight w:val="white"/>
        </w:rPr>
        <w:t>a</w:t>
      </w:r>
      <w:r>
        <w:rPr>
          <w:sz w:val="21"/>
          <w:szCs w:val="21"/>
          <w:highlight w:val="white"/>
        </w:rPr>
        <w:t>ediatric T1D groups. It is not known whether CSII therapy without CGM improves intermediate GV.</w:t>
      </w:r>
    </w:p>
    <w:p w14:paraId="185FF66A" w14:textId="77777777" w:rsidR="007C4127" w:rsidRDefault="007C4127" w:rsidP="007C4127">
      <w:pPr>
        <w:shd w:val="clear" w:color="auto" w:fill="FFFFFF"/>
        <w:spacing w:after="220" w:line="360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In this study, glucose variability was assessed measuring 1,5-anhydroglucitol (1,5-AG) in children treated with CSII or MDI, 3 months after T1D diagnosis. </w:t>
      </w:r>
    </w:p>
    <w:p w14:paraId="347CEEE4" w14:textId="0288BFF7" w:rsidR="007C4127" w:rsidRDefault="007C4127" w:rsidP="007C4127">
      <w:pPr>
        <w:shd w:val="clear" w:color="auto" w:fill="FFFFFF"/>
        <w:spacing w:after="220" w:line="360" w:lineRule="auto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The study found that 1,5-AG improved more (increased) in the CSII vs. MDI group, while there was no significant difference in the HbA1c improvement between the CSII and MDI groups. Early use of CSII post-T1D-diagnosis in a p</w:t>
      </w:r>
      <w:r>
        <w:rPr>
          <w:sz w:val="21"/>
          <w:szCs w:val="21"/>
          <w:highlight w:val="white"/>
        </w:rPr>
        <w:t>a</w:t>
      </w:r>
      <w:r>
        <w:rPr>
          <w:sz w:val="21"/>
          <w:szCs w:val="21"/>
          <w:highlight w:val="white"/>
        </w:rPr>
        <w:t>ediatric population is associated with a higher 1,5-AG than with MDI therapy implying reduced glycaemic variability.</w:t>
      </w:r>
    </w:p>
    <w:p w14:paraId="1DBD2CD3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27"/>
    <w:rsid w:val="0057030D"/>
    <w:rsid w:val="00690CF6"/>
    <w:rsid w:val="006A665E"/>
    <w:rsid w:val="007C4127"/>
    <w:rsid w:val="00D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6FC2"/>
  <w15:chartTrackingRefBased/>
  <w15:docId w15:val="{7FB892FA-9148-4C7C-ACBD-DD5061EB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127"/>
    <w:pPr>
      <w:spacing w:after="0" w:line="276" w:lineRule="auto"/>
    </w:pPr>
    <w:rPr>
      <w:rFonts w:ascii="Times New Roman" w:eastAsia="Times New Roman" w:hAnsi="Times New Roman" w:cs="Times New Roman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2</cp:revision>
  <dcterms:created xsi:type="dcterms:W3CDTF">2020-08-26T05:44:00Z</dcterms:created>
  <dcterms:modified xsi:type="dcterms:W3CDTF">2020-08-26T05:48:00Z</dcterms:modified>
</cp:coreProperties>
</file>