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4067" w14:textId="3F168B48" w:rsidR="00505276" w:rsidRDefault="00505276" w:rsidP="00505276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>Cost-effectiveness Analysis of Routine Screening Using Massively Parallel Sequencing for Maturity-Onset Diabetes of the Young in a P</w:t>
      </w:r>
      <w:r w:rsidR="00B938EB">
        <w:rPr>
          <w:b/>
          <w:highlight w:val="white"/>
        </w:rPr>
        <w:t>a</w:t>
      </w:r>
      <w:r>
        <w:rPr>
          <w:b/>
          <w:highlight w:val="white"/>
        </w:rPr>
        <w:t>ediatric Diabetes Cohort: Reduced Health System Costs and Improved Patient Quality of Life</w:t>
      </w:r>
    </w:p>
    <w:p w14:paraId="34CE7E9E" w14:textId="77777777" w:rsidR="00505276" w:rsidRDefault="00505276" w:rsidP="00505276">
      <w:pPr>
        <w:spacing w:line="360" w:lineRule="auto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Johnson, S. R., Carter, H. E., Leo, P., Hollingworth, S. A., Davis, E. A., Jones, T. W., Conwell, L. S., Harris, M., Brown, M. A., Graves, N., &amp; Duncan, E. L. (2019).</w:t>
      </w:r>
    </w:p>
    <w:p w14:paraId="70DC4D03" w14:textId="77777777" w:rsidR="00505276" w:rsidRDefault="00505276" w:rsidP="00505276">
      <w:pPr>
        <w:spacing w:line="360" w:lineRule="auto"/>
        <w:rPr>
          <w:highlight w:val="white"/>
        </w:rPr>
      </w:pPr>
    </w:p>
    <w:p w14:paraId="4E834F38" w14:textId="6C19390F" w:rsidR="00505276" w:rsidRDefault="00505276" w:rsidP="00505276">
      <w:pPr>
        <w:spacing w:line="360" w:lineRule="auto"/>
        <w:rPr>
          <w:highlight w:val="white"/>
        </w:rPr>
      </w:pPr>
      <w:r>
        <w:rPr>
          <w:highlight w:val="white"/>
        </w:rPr>
        <w:t xml:space="preserve">The prevalence of pathogenic/likely pathogenic </w:t>
      </w:r>
      <w:r>
        <w:rPr>
          <w:highlight w:val="white"/>
        </w:rPr>
        <w:t>m</w:t>
      </w:r>
      <w:r>
        <w:rPr>
          <w:highlight w:val="white"/>
        </w:rPr>
        <w:t>aturity-onset diabetes of the young (MODY) variants were recently determined in an Australian p</w:t>
      </w:r>
      <w:r>
        <w:rPr>
          <w:highlight w:val="white"/>
        </w:rPr>
        <w:t>a</w:t>
      </w:r>
      <w:r>
        <w:rPr>
          <w:highlight w:val="white"/>
        </w:rPr>
        <w:t>ediatric diabetes cohort, using massively parallel sequencing</w:t>
      </w:r>
      <w:r w:rsidR="00B938EB">
        <w:rPr>
          <w:highlight w:val="white"/>
        </w:rPr>
        <w:t xml:space="preserve"> (MPS)</w:t>
      </w:r>
      <w:r>
        <w:rPr>
          <w:highlight w:val="white"/>
        </w:rPr>
        <w:t xml:space="preserve">. </w:t>
      </w:r>
    </w:p>
    <w:p w14:paraId="1E82FD2C" w14:textId="77777777" w:rsidR="00505276" w:rsidRDefault="00505276" w:rsidP="00505276">
      <w:pPr>
        <w:spacing w:line="360" w:lineRule="auto"/>
        <w:rPr>
          <w:highlight w:val="white"/>
        </w:rPr>
      </w:pPr>
    </w:p>
    <w:p w14:paraId="2237550E" w14:textId="77777777" w:rsidR="00505276" w:rsidRDefault="00505276" w:rsidP="00505276">
      <w:pPr>
        <w:spacing w:line="360" w:lineRule="auto"/>
        <w:rPr>
          <w:highlight w:val="white"/>
        </w:rPr>
      </w:pPr>
      <w:r>
        <w:rPr>
          <w:highlight w:val="white"/>
        </w:rPr>
        <w:t xml:space="preserve">This study used the data to estimate cost-effectiveness of using MPS for MODY in all pediatric diabetes cases compared with standard practice, in which sequencing is limited only to individuals with specific clinical features. </w:t>
      </w:r>
    </w:p>
    <w:p w14:paraId="3FC6CC48" w14:textId="77777777" w:rsidR="00505276" w:rsidRDefault="00505276" w:rsidP="00505276">
      <w:pPr>
        <w:spacing w:line="360" w:lineRule="auto"/>
        <w:rPr>
          <w:highlight w:val="white"/>
        </w:rPr>
      </w:pPr>
    </w:p>
    <w:p w14:paraId="4897C9F6" w14:textId="5F9F74BA" w:rsidR="00505276" w:rsidRDefault="00505276" w:rsidP="00505276">
      <w:pPr>
        <w:spacing w:line="360" w:lineRule="auto"/>
        <w:rPr>
          <w:highlight w:val="white"/>
        </w:rPr>
      </w:pPr>
      <w:r>
        <w:rPr>
          <w:highlight w:val="white"/>
        </w:rPr>
        <w:t xml:space="preserve">It was found that </w:t>
      </w:r>
      <w:r>
        <w:rPr>
          <w:highlight w:val="white"/>
        </w:rPr>
        <w:t>$</w:t>
      </w:r>
      <w:r>
        <w:rPr>
          <w:highlight w:val="white"/>
        </w:rPr>
        <w:t>1,016,000 AUD was saved per 1000 patients using routine MPS screening, rather than standard care screening. These findings provide evidence that routine MPS screening for MODY in the p</w:t>
      </w:r>
      <w:r>
        <w:rPr>
          <w:highlight w:val="white"/>
        </w:rPr>
        <w:t>a</w:t>
      </w:r>
      <w:r>
        <w:rPr>
          <w:highlight w:val="white"/>
        </w:rPr>
        <w:t>ediatric population with diabetes could reduce health system costs and improve patient quality of life.</w:t>
      </w:r>
    </w:p>
    <w:p w14:paraId="74992031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76"/>
    <w:rsid w:val="00505276"/>
    <w:rsid w:val="0057030D"/>
    <w:rsid w:val="00690CF6"/>
    <w:rsid w:val="006A665E"/>
    <w:rsid w:val="00B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D2F9"/>
  <w15:chartTrackingRefBased/>
  <w15:docId w15:val="{B087A902-9646-46D2-8144-92BCEED8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5276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2020-08-26T05:09:00Z</dcterms:created>
  <dcterms:modified xsi:type="dcterms:W3CDTF">2020-08-26T05:22:00Z</dcterms:modified>
</cp:coreProperties>
</file>